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Raport Metrohouse i Expandera sierpień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wynika z najnowszego raportu Metrohouse i Expandera, wakacje na rynku nieruchomości upływają pod znakiem dużej aktywności kupujących. Zwłaszcza inwestorzy mają duży wpływ na kształtowanie się lokalnych rynków, np. w Gdańsku czy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ciekawe, w tym pierwszym mieście ceny transakcyjne znacząco wzrosły w stosunku do analogicznego okresu ubiegłego roku, natomiast w stolicy Małopolski nieznacznie spadły. Z kolei na rynku kredytów hipotecznych lipiec był okresem zmniejszonej aktywności wnioskodawców. Przyczyną były utrzymujący się problem z budową domu na działkach rolnych oraz spadek zdolności kredytowej.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rynku brakuje małych mieszkań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najnowszego raportu Metrohouse i Expandera, w największych polskich miastach rynek mieszkań o metrażu do 25 mkw. nie przekracza z reguły 2%, podczas gdy zgłaszane zainteresowanie takimi lokalami jest kilkukrotnie większe. Mała podaż niewielkich nieruchomości wynika z braku możliwość budowy tego typu metraży, a dostępne mikromieszkania w dużej części znajdują się w starym, często przedwojennym budownictwie i są wynikiem podziału dużo większych lokali.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Tymczasem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Ministerstwo Infrastruktury i Budownictwa nosi się z zamiarem zniesienia limitów wielkości poszczególnych pomieszczeń </w:t>
      </w:r>
      <w:r>
        <w:rPr>
          <w:rFonts w:ascii="calibri" w:hAnsi="calibri" w:eastAsia="calibri" w:cs="calibri"/>
          <w:sz w:val="24"/>
          <w:szCs w:val="24"/>
        </w:rPr>
        <w:t xml:space="preserve">– mówi Marcin Jańczuk, ekspert Metrohouse.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nowelizacja usunie te zapisy, możemy spodziewać się wysypu lokali o najmniejszym metrażu, które mogą być ciekawym urozmaiceniem inwestycyjnym dla osób lokujących na rynku nieruchomości swoje oszczędności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Będzie to też rozwiązanie dla singli, poszukujących dostępnej cenowo oferty mieszkań na start. Co prawda, cena metra kwadratowego takich nieruchomości jest zwykle wyższa niż standardowych metraży, jednak w tym przypadku decydującą rolę będzie miał całościowy koszt transakcji, który będzie do zaakceptowania dla kupujących.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Zmniejszony ruch na rynku kredytów hipotecznych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Lipiec był miesiącem zmniejszonych obrotów na rynku kredytów hipotecznych. Według BIK liczba wniosków spadła o blisko 10% w porównaniu do lipca ubiegłego roku. Wbrew pozorom, przyczyną nie było zablokowanie środków na dopłaty w ramach programu MdM, ale utrzymujący się problem z uzyskaniem kredytów na budowę domów na działkach rolnych oraz znaczny spadek dostępności finansowania.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przykładu rodzina z dochodem wynoszącym 5 000 zł netto ma dziś zdolność kredytową aż o prawie 100 000 zł niższą niż przed rokiem </w:t>
      </w:r>
      <w:r>
        <w:rPr>
          <w:rFonts w:ascii="calibri" w:hAnsi="calibri" w:eastAsia="calibri" w:cs="calibri"/>
          <w:sz w:val="24"/>
          <w:szCs w:val="24"/>
        </w:rPr>
        <w:t xml:space="preserve">– mówi Jarosław Sadowski, ekspert Expandera.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Częściowo to wynik zmian, jakie na bankach wymusiła KNF. Wpłynął na to jednak również wzrost marż. Średnia marża dla kredytu z wysokim wkładem własnym wynosi obecnie 2,08% i jest o 0,31 p.p.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wyższa niż przed rokiem.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Cały raport dostępny w załączniku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2024-04-20T15:20:58+02:00</dcterms:created>
  <dcterms:modified xsi:type="dcterms:W3CDTF">2024-04-20T15:20:58+02:00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