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Raport Metrohouse i Expandera Wrzesień 2016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wynika z najnowszego raportu Metrohouse i Expandera, znacząco wzrosła średnia marża kredytów hipotecznych z wysokim (25%) wkładem własnym. Główną przyczyną nie są jednak podwyżki w bankach, lecz wycofanie bardzo atrakcyjnej oferty Banku BPH, który od września zaprzestał udzielania tego rodzaju kredytów. Dobrą wiadomością było przywrócenie możliwości finansowania budowy domu na działce rolnej. Z kolei średnie ceny w transakcjach na wtórnym rynku nieruchomości ukształtowały się na poziomie podobnym do ostatnich miesięcy. Różnice cenowe dotyczą jedynie mieszkań w Łodzi i Trójmieście.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Największe zmiany na Pomorzu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wynika z ostatnich statystyk Eurostatu, na jednego mieszkańca Polski przypada jeden pokój. Tymczasem średni wynik dla krajów Unii Europejskiej to 1,5. Mieszkania o mniejszej powierzchni nie tracą w Polsce na popularności. Preferują je szczególnie inwestorzy zainteresowani nabyciem lokalu z myślą o jego późniejszym wynajmie. Jednak patrząc na średnie metraże lokali zakupionych na rynku wtórnym, w żadnym z obserwowanych miast, nie jest on mniejszy od 50 mkw. 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Na rynku dużym zainteresowaniem cieszą się nieruchomości dwupokojowe. Wśród przeprowadzonych transakcji aż 44% dotyczyło właśnie takich lokali. Co trzecie sprzedawane mieszkanie posiadało trzy pokoje, a jedynie 15% stanowiły mieszkania jednopokojowe </w:t>
      </w:r>
      <w:r>
        <w:rPr>
          <w:rFonts w:ascii="calibri" w:hAnsi="calibri" w:eastAsia="calibri" w:cs="calibri"/>
          <w:sz w:val="24"/>
          <w:szCs w:val="24"/>
        </w:rPr>
        <w:t xml:space="preserve">– mówi Marcin Jańczuk, ekspert Metrohouse.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Obserwując ceny w okresie ostatnich dwunastu miesięcy na rynku, można zauważyć, że nie doszło do poważnych zmian w tym zakresie. Na tym tle wyróżniają się Łódź oraz Gdańsk i Gdynia. </w:t>
      </w:r>
    </w:p>
    <w:p>
      <w:r>
        <w:rPr>
          <w:rFonts w:ascii="calibri" w:hAnsi="calibri" w:eastAsia="calibri" w:cs="calibri"/>
          <w:sz w:val="24"/>
          <w:szCs w:val="24"/>
        </w:rPr>
        <w:t xml:space="preserve"> 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 poprzednich raportach wskazywaliśmy na spadki cen łódzkich nieruchomości, jednak obecnie średni koszt mkw. przekroczył 3 500 zł i powrócił do wcześniej notowanych stawek. Póki co jednak trudno ocenić, czy to długotrwały trend, ponieważ istotny udział w ostatnich transakcjach miały mieszkania z nowszego segmentu, co przełożyło się także na średnie ceny mkw.</w:t>
      </w:r>
      <w:r>
        <w:rPr>
          <w:rFonts w:ascii="calibri" w:hAnsi="calibri" w:eastAsia="calibri" w:cs="calibri"/>
          <w:sz w:val="24"/>
          <w:szCs w:val="24"/>
        </w:rPr>
        <w:t xml:space="preserve"> – wyjaśnia Marcin Jańczuk. 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 przypadku Trójmiasta, ponownie obserwujemy zrównanie się cen nieruchomości w Gdańsku i Gdyni. Różnica kosztów, jakie należało ponieść, jest niewielka i wynosi kilkadziesiąt złotych. Osoby zainteresowane zakupem lokalu w Gdańsku musiały się liczyć z wydatkiem rzędu 5 415 zł za mkw., zaś w Gdyni 5 343 zł za mkw.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Marże kredytów hipotecznych w górę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minionym miesiącu średnia marża kredytu hipotecznego z wysokim (25%) wkładem własnym wzrosła z 2,06% do 2,16%. Główna przyczyna jest jednak dość nietypowa. – Od września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Bank BPH zaprzestał udzielania kredytów hipotecznych. Ponieważ dotychczas proponował klientom bardzo niską marżę to brak tej oferty znacząco wpłynął na wzrost średniej – </w:t>
      </w:r>
      <w:r>
        <w:rPr>
          <w:rFonts w:ascii="calibri" w:hAnsi="calibri" w:eastAsia="calibri" w:cs="calibri"/>
          <w:sz w:val="24"/>
          <w:szCs w:val="24"/>
        </w:rPr>
        <w:t xml:space="preserve">mówi Jarosław Sadowski, ekspert Expandera.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– Kolejną przyczyną są zmiany w mBanku, który od września udziela tego typu kredytów tylko za pośrednictwem mBanku Hipotecznego. Przy okazji została wprowadzona niewielka podwyżka marż, która również wpłynęła na średnią.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ostatnim czasie pojawiła się również bardzo dobra informacja dla osób planujących budowę domu na działce rolnej. Banki ponowie zaczęły finansować takie budowy. Weszła bowiem w życie nowelizacja ustawy, która wywołała problem. Jednak należy pamiętać, że nadal istnieją pewne trudności w tym obszarze.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– Wciąż trudno jest uzyskać finansowanie, jeśli powierzchnia działki rolnej jest większa niż 3 000 mkw. Przyczyną niechęci banków są ograniczania w sprzedaży takich gruntów, co wprowadziła wspomniana już ustawa. Tego nowelizacja bowiem nie zmieniła</w:t>
      </w:r>
      <w:r>
        <w:rPr>
          <w:rFonts w:ascii="calibri" w:hAnsi="calibri" w:eastAsia="calibri" w:cs="calibri"/>
          <w:sz w:val="24"/>
          <w:szCs w:val="24"/>
        </w:rPr>
        <w:t xml:space="preserve"> – dodaje Jarosław Sadowski.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Cały raport możesz publikujemy w załącznikach.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2024-04-17T02:11:39+02:00</dcterms:created>
  <dcterms:modified xsi:type="dcterms:W3CDTF">2024-04-17T02:11:39+02:00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