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rynek nieruchomości Raport Metrohouse i Expandera Styczeń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najnowszego raportu Metrohouse i Expandera, w sześciu spośród siedmiu analizowanych miast, ceny mieszkań na rynku wtórnym są wyższe niż przed rokiem. Największe dysproporcje widoczne są w Gdańsku, gdzie sprzedawane lokale są o 14 proc. droższe w porównaniu z 2015 r. Z kolei najważniejszymi wydarzeniami na rynku kredytów hipotecznych są podwyższenie wymaganego wkładu własnego i odblokowanie pieniędzy na tegoroczne dopłaty z programu „Mieszkanie dla młodych”.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Gdańsk czarnym koniem rynku nieruchomości w 2016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Stolica woj. pomorskiego to jedyne miasto gdzie, wzrost średnich cen przekroczył poziom 10 proc., w porównaniu do zeszłego roku. 12 miesięcy temu mkw. mieszkania kosztował 5000 zł, podczas gdy transakcje z IV kw. 2016 r. pokazują dość znaczące zmiany. Obecnie średnia wartość mkw. przekracza już 5700 zł.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Pewien wpływ na zachowania rynkowe nabywców, akceptujących wyższe poziomy cenowe, mają walory inwestycyjne Gdańska. Miasto umożliwia zarabianie na wynajmie długoterminowym, ale także krótkoterminowym, w sezonie wakacyjnym. Dobre lokalizacje są jednak także w cenie. Wiedzą o tym kupujący nieruchomości na Starówce, czy te zlokalizowane blisko nabrzeża </w:t>
      </w:r>
      <w:r>
        <w:rPr>
          <w:rFonts w:ascii="calibri" w:hAnsi="calibri" w:eastAsia="calibri" w:cs="calibri"/>
          <w:sz w:val="24"/>
          <w:szCs w:val="24"/>
        </w:rPr>
        <w:t xml:space="preserve">– mówi Marcin Jańczuk, ekspert Metrohouse. Obok transakcji z przedziałów cenowych 4500-5000 zł za mkw., nierzadko pojawiają się też sprzedaże bliskie 9000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Wzrost cen na rynku pierwotnym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Czwarty kwartał 2016 roku był kolejnym okresem, w którym nie można było skorzystać z programu „Mieszkanie dla Młodych” (MdM). Dane Banku Gospodarstwa Krajowego wskazują, że od początku października do końca grudnia 2016 r. łączna wartość przyznanych dopłat wyniosła około 90 mln zł.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niedawno takie wyniki notowano w jednym miesiącu. Wielu kupujących czekało na odblokowanie pozostałej części puli z 2017 roku (373 mln zł), która pozwoli na dotowanie gotowych mieszkań, również używanych oraz lokali z tegorocznym terminem ukończenia</w:t>
      </w:r>
      <w:r>
        <w:rPr>
          <w:rFonts w:ascii="calibri" w:hAnsi="calibri" w:eastAsia="calibri" w:cs="calibri"/>
          <w:sz w:val="24"/>
          <w:szCs w:val="24"/>
        </w:rPr>
        <w:t xml:space="preserve"> – mówi Andrzej Prajsnar, ekspert portalu RynekPierwotny.pl. W nowym roku deweloperzy nie obniżyli jednak znacząco cen mieszkań. Wręcz przeciwnie, we Wrocławiu, Łodzi, Poznaniu i Gdańsku odnotowano wzrosty średniej ceny ofertowej.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Pula „MdM” wyczerpie się bardzo szybko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rekord wykorzystania dopłat z MdM padł w marcu 2016 r., kiedy Polacy zarezerwowali nieco ponad 200 mln zł. Prognozy na ten rok zakładały, że dostępne od stycznia 373 mln zł, skończą się w lutym, a najpóźniej w marcu. Zainteresowanie dopłatami przerosło jednak wszelkie oczekiwania i rekord z ubiegłego roku został pobity.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BGK do 11 stycznia złożono wnioski o dopłaty na kwotę 318 mln zł. W rezultacie bank BZ WBK wstrzymał już przyjmowanie wniosków o kredyty z dopłatą.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szybkie rezerwowanie pieniędzy na dopłaty jest możliwe dzięki temu, że banki już od początku grudnia zachęcały do rozpoczęcia procedury uzyskania preferencyjnego kredytu </w:t>
      </w:r>
      <w:r>
        <w:rPr>
          <w:rFonts w:ascii="calibri" w:hAnsi="calibri" w:eastAsia="calibri" w:cs="calibri"/>
          <w:sz w:val="24"/>
          <w:szCs w:val="24"/>
        </w:rPr>
        <w:t xml:space="preserve">– mówi Jarosław Sadowski, ekspert Expandera.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istotnym faktem jest także obowiązujący od stycznia 2017 r. 20% wkład własny. W rezultacie trzy banki: BGŻ BNP Paribas, BOŚ i Euro Bank, były zmuszone podwyższyć wymagania i zamiast 85 proc. finansują już nie więcej niż 80 proc. wartości nieruchomości.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Nadal jednak część banków może udzielać kredytów przy wkładzie wynoszącym tylko 10 proc. </w:t>
      </w:r>
      <w:r>
        <w:rPr>
          <w:rFonts w:ascii="calibri" w:hAnsi="calibri" w:eastAsia="calibri" w:cs="calibri"/>
          <w:sz w:val="24"/>
          <w:szCs w:val="24"/>
        </w:rPr>
        <w:t xml:space="preserve">Co ciekawe, ta grupa, w tym roku poszerzyła się o Bank Millennium. W rezultacie 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90 proc. wartości nieruchomości kredytów udziela obecnie 10 banków – dodaje ekspert.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2024-04-26T20:34:05+02:00</dcterms:created>
  <dcterms:modified xsi:type="dcterms:W3CDTF">2024-04-26T20:34:05+02:00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