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Polski Rynek Nieruchomości Sierpień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Sierpniowy raport z rynku kredytów hipotecznych i rynku mieszkaniowego autorstwa Metrohouse, Szybko.pl i Metrohouse.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KREDYTY HIPOTECZNE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Tegoroczne wakacje nie należą do spokojnych. Banki wprowadziły wiele zmian w ofertach. Niestety w większości są to podwyżki marż. Mimo to kredyty hipoteczne pozostają bardzo tanie i dość łatwo dostępne. Dla wielu osób spłacających już kredyty walutowe najważniejszą kwestią jest to, czy Senat i prezydent uchwalą przyjętą przez Sejm ustawę umożliwiająca preferencyjne przewalutowanie wspomnianych kredytów.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aż 7 banków poinformowało nas, że obecna marża kredytów z minimalnym (10%) wkładem własnym różni się od tej sprzed miesiąca. Większość tych zmian to niestety podwyżki. W rezultacie średnia marża dla tego rodzaju kredytów wzrosła do 1,99% (z 1,97% w lipcu). Podwyżki dotknęły również kredytów udzielanych w ramach programu „Mieszkanie dla młodych”. Ich średnia marża także wzrosła, do 2,05% (z 2,03% w lipcu). Jedynie dla tradycyjnych kredytów z wysokim (25%) wkładem własnym parametr ten pozostał na dotychczasowym poziomie (1,76%). Jest to przede wszystkim zasługa dużej obniżki w Alior Banku </w:t>
      </w:r>
    </w:p>
    <w:p>
      <w:r>
        <w:rPr>
          <w:rFonts w:ascii="calibri" w:hAnsi="calibri" w:eastAsia="calibri" w:cs="calibri"/>
          <w:sz w:val="24"/>
          <w:szCs w:val="24"/>
        </w:rPr>
        <w:t xml:space="preserve"> (z 2,20% do 1,89%). Gdyby nie ona, również w przypadku kredytów z wysokim wkładem własnym uzyskalibyśmy wyższą niż przed miesiącem średnią marżę.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Ogólny obraz rynku kredytów hipotecznych nie zmienił się w ostatnim czasie. Nadal ich oprocentowanie jest bardzo niskie, co pozytywnie przekłada się na wysokość rat. Dla przykładu zaciągając kredyt na kwotę 300 000 zł na 25 lat rata wyniesie ok. 1 500 zł. Trzy lata temu było to 2 050 zł. Różnica jest więc ogromna. Ponadto kredyty są dziś dość łatwo dostępne. Dla przykładu </w:t>
      </w:r>
    </w:p>
    <w:p>
      <w:r>
        <w:rPr>
          <w:rFonts w:ascii="calibri" w:hAnsi="calibri" w:eastAsia="calibri" w:cs="calibri"/>
          <w:sz w:val="24"/>
          <w:szCs w:val="24"/>
        </w:rPr>
        <w:t xml:space="preserve"> 4-osobowa rodzina z dochodem wynoszącym 8 000 zł netto, przeciętnie może obecnie uzyskać kredyt na kwotę 777 000 zł. Trzy lata temu suma ta wynosiła 633 000 zł. Pod tym względem również jest dziś znacząco lepiej.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emocji budzi w ostatnim czasie kwestia preferencyjnego przewalutowania kredytów we frankach. Ustawa została uchwalona przez Sejm w wariancie bardzo korzystnym dla klientów. Aż 90% kosztów tej operacji miałyby pokryć banki. Pojawiają się jednak zapowiedzi, że senatorzy przywrócą ustawie pierwotny kształt, w którym koszty mają być po równo dzielone między banki i kredytobiorców. Pozostaje też pytanie, czy ustawa jest zgodna z konstytucją oraz czy podpisze ją prezydent Duda. Przed wyborami obiecał przewalutowanie po kursie z dnia uruchomienia kredytu. Z punktu widzenia kredytobiorców byłoby to jeszcze lepsze rozwiązanie, ale ogólnie rzecz biorąc korzyści i koszty takiej propozycji byłyby zbliżone do obecnego wariantu ustawy. Jeśli jednak zostanie ona przywrócona do poprzedniego kształtu, to będzie znacznie odbiegała od obietnicy prezydenta. Pytanie więc, czy w takim przypadku zostanie ona podpisana.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Jarosław Sadowski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Główny Analityk, Expander Advisors Sp. z o.o.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OFERTOWE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rynku obserwujemy obecnie typowy wakacyjny zastój. Obniżki są nieznaczne – średnia cena oferowanych mieszkań zmalała wprawdzie tylko o 0,1% w stosunku do poprzedniego miesiąca. Jednak tylko w 6 na 15 miast nie odnotowujemy spadków. Należą do nich Wrocław, Sopot, Katowice, Szczecin, Olsztyn i Łódź. Najwyższa redukcja cenowa w lipcu miała miejsce w Krakowie i wyniosła 0,8%.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porównaniu z lipcem 2014 roku ceny są niższe o 1,6%. W ciągu ostatnich 12 miesięcy najwięcej na wartości straciły mieszkania w Olsztynie 5,6%; w Poznaniu 4,8% i w Toruniu 4,6%. Więcej niż przed rokiem zapłacimy za nieruchomości w Łodzi +3%, we Wrocławiu +0,9%, Sopocie +0,6% i Lublinie +0,4%.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nieruchomości panuje marazm. Jednak istnieją duże szanse, że niedługo nastąpi znaczne ożywienie. Jesienny wzrost popytu oraz zwiększone zainteresowanie lokalami będzie spowodowane dofinansowaniem w ramach programu Mieszkanie dla Młodych.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spodziewać się większej liczby transakcji dzięki dopłatom w miastach, gdzie dostępność mieszkań spełniających kryteria cenowe jest duża. Jednocześnie można przewidywać, że właściciele lokali z rynku wtórnego będą skłonni do negocjacji cenowych, które pozwolą kupującym na uzyskanie dopłaty, a sprzedającym na zbycie nieruchomości. W związku z tym mimo zwiększonego popytu niewykluczone są korekty cen.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Marta Kosińska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Ekspert Szybko.pl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TRANSAKCYJNE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Ustępujący prezydent pod koniec swojej kadencji zdążył podpisać nowelizację ustawy o programie MdM. W ten sposób dopłaty do zakupu mieszkania będą możliwe także na rynku wtórnym. To dobra wiadomość dla osób, które przygotowują się do zakupu swojego pierwszego lokum. Gorsza wiadomość – dopłaty ominą raczej największe polskie miasta. Z naszych analiz wynika, że tylko w Łodzi nie będzie większych problemów ze znalezieniem mieszkania w limitach cenowych ustawodawcy. Natomiast na rynku wtórnym w Warszawie i Krakowie próżno szukać mieszkań z drugiej ręki spełniających warunki programu.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 oczekiwane zmiany w programie Mieszkanie dla Młodych zostały entuzjastycznie przyjęte przez potencjalnych nabywców, którzy właśnie teraz przygotowują się do zakupu mieszkania. Dopłaty w ramach programu, które dotychczas dotyczyły tylko rynku pierwotnego, zostały rozszerzone również na lokale z drugiej ręki. Wprawdzie limit cenowy został ustalony na poziomie znacznie niższym niż dla rynku pierwotnego, ale mimo to klienci poszukujący nieruchomości z dopłatą, nie muszą już ograniczać się tylko do oferty deweloperów. Jest to ukłon zwłaszcza w stronę mniejszych miast, gdzie aktywność inwestorów jest niewielka lub w ogóle jej nie ma i transakcje mają miejsce w zasadzie tylko na rynku wtórnym. Według analizy Metrohouse obejmującej miasta wojewódzkie, największe szanse na znalezienie lokalu z dopłatą będą mieć mieszkańcy Gorzowa Wielkopolskiego (60% aktualnych ofert sprzedaży spełnia kryteria MdM), Olsztyna (50%), Łodzi (47%), Zielonej Góry (44%) i Katowic (41%). Na zmianach nie skorzystają natomiast osoby liczące na dopłaty w Rzeszowie. Tam zaledwie 1% ofert spełnia kryteria cenowe MdM-u. W Warszawie i Krakowie jest niewiele lepiej, bo tylko 2% propozycji kwalifikuje się do dopłat, a we Wrocławiu i Opolu – 3%. Niska dostępność takich lokali jest też w Lublinie i Gdańsku – odpowiednio 6% i 7%.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wakacyjny rynek mieszkaniowy charakteryzuje się dużą stabilnością. Ceny w większości dużych miast nie uległy zmianom większym niż 1%. Jedynie w dwóch miastach: w Gdyni i Łodzi nabywane w ostatnim czasie lokale były tańsze niż przed miesiącem. W Łodzi obniżka wyniosła 4%. Klienci dokonujący zakupów wybierali nieruchomości w średniej cenie 3 482 zł za mkw. Spadek poniżej 3 500 zł to poziom nienotowany od wielu miesięcy. Zmniejszyła się też średnia kwota, jaką przeznaczamy na zakup – 165,6 tys. zł. W Łodzi kupujemy też najmniejsze mieszkania, średni metraż ponownie spadł poniżej 50 mkw. i wynosi 47,7 mkw. W Gdyni obniżki wyniosły 3,8%, a za metr kwadratowy klienci płacą średnio 4 809 zł. Na uwagę zasługuje duża rozbieżność w cenach transakcyjnych i średnich cenach oferowanych na portalach. Wynosi ona 11% i jest to największa dysproporcja pośród analizowanych miast. W Gdyni przy sprzedaży mieszkania należy nastawić się na negocjacje cenowe. Bez nich nie będzie łatwo dokonać transakcji po oczekiwanych stawkach.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Marcin Jańczuk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Metrohouse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2024-04-27T02:42:19+02:00</dcterms:created>
  <dcterms:modified xsi:type="dcterms:W3CDTF">2024-04-27T02:42:19+02:00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