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Styczeń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sześciu spośród siedmiu analizowanych miast, ceny mieszkań na rynku wtórnym są wyższe niż przed rokiem. Największe dysproporcje widoczne są w Gdańsku, gdzie sprzedawane lokale są o 14 proc. droższe w porównaniu z 2015 r. Z kolei najważniejszymi wydarzeniami na rynku kredytów hipotecznych są podwyższenie wymaganego wkładu własnego i odblokowanie pieniędzy na tegoroczne dopłaty z programu „Mieszkanie dla młodych”.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czarnym koniem rynku nieruchomości w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woj. pomorskiego to jedyne miasto gdzie, wzrost średnich cen przekroczył poziom 10 proc., w porównaniu do zeszłego roku. 12 miesięcy temu mkw. mieszkania kosztował 5000 zł, podczas gdy transakcje z IV kw. 2016 r. pokazują dość znaczące zmiany. Obecnie średnia wartość mkw. przekracza już 5700 zł.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Pewien wpływ na zachowania rynkowe nabywców, akceptujących wyższe poziomy cenowe, mają walory inwestycyjne Gdańska. Miasto umożliwia zarabianie na wynajmie długoterminowym, ale także krótkoterminowym, w sezonie wakacyjnym. Dobre lokalizacje są jednak także w cenie. Wiedzą o tym kupujący nieruchomości na Starówce, czy te zlokalizowane blisko nabrzeża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Obok transakcji z przedziałów cenowych 4500-5000 zł za mkw., nierzadko pojawiają się też sprzedaże bliskie 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kwartał 2016 roku był kolejnym okresem, w którym nie można było skorzystać z programu „Mieszkanie dla Młodych” (MdM). Dane Banku Gospodarstwa Krajowego wskazują, że od początku października do końca grudnia 2016 r. łączna wartość przyznanych dopłat wyniosła około 90 mln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takie wyniki notowano w jednym miesiącu. Wielu kupujących czekało na odblokowanie pozostałej części puli z 2017 roku (373 mln zł), która pozwoli na dotowanie gotowych mieszkań, również używanych oraz lokali z tegorocznym terminem ukończenia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portalu RynekPierwotny.pl. W nowym roku deweloperzy nie obniżyli jednak znacząco cen mieszkań. Wręcz przeciwnie, we Wrocławiu, Łodzi, Poznaniu i Gdańsku odnotowano wzrosty średniej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„MdM” wyczerpie się bardzo szybko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rekord wykorzystania dopłat z MdM padł w marcu 2016 r., kiedy Polacy zarezerwowali nieco ponad 200 mln zł. Prognozy na ten rok zakładały, że dostępne od stycznia 373 mln zł, skończą się w lutym, a najpóźniej w marcu. Zainteresowanie dopłatami przerosło jednak wszelkie oczekiwania i rekord z ubiegłego roku został pobity.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BGK do 11 stycznia złożono wnioski o dopłaty na kwotę 318 mln zł. W rezultacie bank BZ WBK wstrzymał już przyjmowanie wniosków o kredyty z dopłatą.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szybkie rezerwowanie pieniędzy na dopłaty jest możliwe dzięki temu, że banki już od początku grudnia zachęcały do rozpoczęcia procedury uzyskania preferencyjnego kredytu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faktem jest także obowiązujący od stycznia 2017 r. 20% wkład własny. W rezultacie trzy banki: BGŻ BNP Paribas, BOŚ i Euro Bank, były zmuszone podwyższyć wymagania i zamiast 85 proc. finansują już nie więcej niż 80 proc. wartości nieruchomości.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część banków może udzielać kredytów przy wkładzie wynoszącym tylko 10 proc. </w:t>
      </w:r>
      <w:r>
        <w:rPr>
          <w:rFonts w:ascii="calibri" w:hAnsi="calibri" w:eastAsia="calibri" w:cs="calibri"/>
          <w:sz w:val="24"/>
          <w:szCs w:val="24"/>
        </w:rPr>
        <w:t xml:space="preserve">Co ciekawe, ta grupa, w tym roku poszerzyła się o Bank Millennium. W rezultacie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90 proc. wartości nieruchomości kredytów udziela obecnie 10 banków – dodaje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2026-02-06T15:12:28+01:00</dcterms:created>
  <dcterms:modified xsi:type="dcterms:W3CDTF">2026-02-06T15:12:28+01:00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