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Raport Metrohouse i Expandera sierpień 2016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wynika z najnowszego raportu Metrohouse i Expandera, wakacje na rynku nieruchomości upływają pod znakiem dużej aktywności kupujących. Zwłaszcza inwestorzy mają duży wpływ na kształtowanie się lokalnych rynków, np. w Gdańsku czy Krakowie.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ciekawe, w tym pierwszym mieście ceny transakcyjne znacząco wzrosły w stosunku do analogicznego okresu ubiegłego roku, natomiast w stolicy Małopolski nieznacznie spadły. Z kolei na rynku kredytów hipotecznych lipiec był okresem zmniejszonej aktywności wnioskodawców. Przyczyną były utrzymujący się problem z budową domu na działkach rolnych oraz spadek zdolności kredytowej.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 rynku brakuje małych mieszkań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najnowszego raportu Metrohouse i Expandera, w największych polskich miastach rynek mieszkań o metrażu do 25 mkw. nie przekracza z reguły 2%, podczas gdy zgłaszane zainteresowanie takimi lokalami jest kilkukrotnie większe. Mała podaż niewielkich nieruchomości wynika z braku możliwość budowy tego typu metraży, a dostępne mikromieszkania w dużej części znajdują się w starym, często przedwojennym budownictwie i są wynikiem podziału dużo większych lokali.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Tymczasem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Ministerstwo Infrastruktury i Budownictwa nosi się z zamiarem zniesienia limitów wielkości poszczególnych pomieszczeń </w:t>
      </w:r>
      <w:r>
        <w:rPr>
          <w:rFonts w:ascii="calibri" w:hAnsi="calibri" w:eastAsia="calibri" w:cs="calibri"/>
          <w:sz w:val="24"/>
          <w:szCs w:val="24"/>
        </w:rPr>
        <w:t xml:space="preserve">– mówi Marcin Jańczuk, ekspert Metrohouse.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Jeżeli nowelizacja usunie te zapisy, możemy spodziewać się wysypu lokali o najmniejszym metrażu, które mogą być ciekawym urozmaiceniem inwestycyjnym dla osób lokujących na rynku nieruchomości swoje oszczędności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Będzie to też rozwiązanie dla singli, poszukujących dostępnej cenowo oferty mieszkań na start. Co prawda, cena metra kwadratowego takich nieruchomości jest zwykle wyższa niż standardowych metraży, jednak w tym przypadku decydującą rolę będzie miał całościowy koszt transakcji, który będzie do zaakceptowania dla kupujących.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Zmniejszony ruch na rynku kredytów hipotecznych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Lipiec był miesiącem zmniejszonych obrotów na rynku kredytów hipotecznych. Według BIK liczba wniosków spadła o blisko 10% w porównaniu do lipca ubiegłego roku. Wbrew pozorom, przyczyną nie było zablokowanie środków na dopłaty w ramach programu MdM, ale utrzymujący się problem z uzyskaniem kredytów na budowę domów na działkach rolnych oraz znaczny spadek dostępności finansowania.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 przykładu rodzina z dochodem wynoszącym 5 000 zł netto ma dziś zdolność kredytową aż o prawie 100 000 zł niższą niż przed rokiem </w:t>
      </w:r>
      <w:r>
        <w:rPr>
          <w:rFonts w:ascii="calibri" w:hAnsi="calibri" w:eastAsia="calibri" w:cs="calibri"/>
          <w:sz w:val="24"/>
          <w:szCs w:val="24"/>
        </w:rPr>
        <w:t xml:space="preserve">– mówi Jarosław Sadowski, ekspert Expandera.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Częściowo to wynik zmian, jakie na bankach wymusiła KNF. Wpłynął na to jednak również wzrost marż. Średnia marża dla kredytu z wysokim wkładem własnym wynosi obecnie 2,08% i jest o 0,31 p.p.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wyższa niż przed rokiem.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Cały raport dostępny w załączniku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2026-09-06T21:22:56+02:00</dcterms:created>
  <dcterms:modified xsi:type="dcterms:W3CDTF">2026-09-06T21:22:56+02:00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