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Metrohouse i Expandera sierpień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najnowszego raportu Metrohouse i Expandera, wakacje na rynku nieruchomości upływają pod znakiem dużej aktywności kupujących. Zwłaszcza inwestorzy mają duży wpływ na kształtowanie się lokalnych rynków, np. w Gdańsku czy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ciekawe, w tym pierwszym mieście ceny transakcyjne znacząco wzrosły w stosunku do analogicznego okresu ubiegłego roku, natomiast w stolicy Małopolski nieznacznie spadły. Z kolei na rynku kredytów hipotecznych lipiec był okresem zmniejszonej aktywności wnioskodawców. Przyczyną były utrzymujący się problem z budową domu na działkach rolnych oraz spadek zdolności kredytowej.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rynku brakuje małych mieszkań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najnowszego raportu Metrohouse i Expandera, w największych polskich miastach rynek mieszkań o metrażu do 25 mkw. nie przekracza z reguły 2%, podczas gdy zgłaszane zainteresowanie takimi lokalami jest kilkukrotnie większe. Mała podaż niewielkich nieruchomości wynika z braku możliwość budowy tego typu metraży, a dostępne mikromieszkania w dużej części znajdują się w starym, często przedwojennym budownictwie i są wynikiem podziału dużo większych lokali.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Tymczasem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Ministerstwo Infrastruktury i Budownictwa nosi się z zamiarem zniesienia limitów wielkości poszczególnych pomieszczeń </w:t>
      </w:r>
      <w:r>
        <w:rPr>
          <w:rFonts w:ascii="calibri" w:hAnsi="calibri" w:eastAsia="calibri" w:cs="calibri"/>
          <w:sz w:val="24"/>
          <w:szCs w:val="24"/>
        </w:rPr>
        <w:t xml:space="preserve">– mówi Marcin Jańczuk, ekspert Metrohouse.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nowelizacja usunie te zapisy, możemy spodziewać się wysypu lokali o najmniejszym metrażu, które mogą być ciekawym urozmaiceniem inwestycyjnym dla osób lokujących na rynku nieruchomości swoje oszczędności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Będzie to też rozwiązanie dla singli, poszukujących dostępnej cenowo oferty mieszkań na start. Co prawda, cena metra kwadratowego takich nieruchomości jest zwykle wyższa niż standardowych metraży, jednak w tym przypadku decydującą rolę będzie miał całościowy koszt transakcji, który będzie do zaakceptowania dla kupujących.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Zmniejszony ruch na rynku kredytów hipotecznych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Lipiec był miesiącem zmniejszonych obrotów na rynku kredytów hipotecznych. Według BIK liczba wniosków spadła o blisko 10% w porównaniu do lipca ubiegłego roku. Wbrew pozorom, przyczyną nie było zablokowanie środków na dopłaty w ramach programu MdM, ale utrzymujący się problem z uzyskaniem kredytów na budowę domów na działkach rolnych oraz znaczny spadek dostępności finansowania.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przykładu rodzina z dochodem wynoszącym 5 000 zł netto ma dziś zdolność kredytową aż o prawie 100 000 zł niższą niż przed rokiem </w:t>
      </w:r>
      <w:r>
        <w:rPr>
          <w:rFonts w:ascii="calibri" w:hAnsi="calibri" w:eastAsia="calibri" w:cs="calibri"/>
          <w:sz w:val="24"/>
          <w:szCs w:val="24"/>
        </w:rPr>
        <w:t xml:space="preserve">– mówi Jarosław Sadowski, ekspert Expandera.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Częściowo to wynik zmian, jakie na bankach wymusiła KNF. Wpłynął na to jednak również wzrost marż. Średnia marża dla kredytu z wysokim wkładem własnym wynosi obecnie 2,08% i jest o 0,31 p.p.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wyższa niż przed rokiem.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Cały raport dostępny w załączniku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2026-10-24T13:13:58+02:00</dcterms:created>
  <dcterms:modified xsi:type="dcterms:W3CDTF">2026-10-24T13:13:58+02:00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