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Wrzesień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znacząco wzrosła średnia marża kredytów hipotecznych z wysokim (25%) wkładem własnym. Główną przyczyną nie są jednak podwyżki w bankach, lecz wycofanie bardzo atrakcyjnej oferty Banku BPH, który od września zaprzestał udzielania tego rodzaju kredytów. Dobrą wiadomością było przywrócenie możliwości finansowania budowy domu na działce rolnej. Z kolei średnie ceny w transakcjach na wtórnym rynku nieruchomości ukształtowały się na poziomie podobnym do ostatnich miesięcy. Różnice cenowe dotyczą jedynie mieszkań w Łodzi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zmiany na Pomorzu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ostatnich statystyk Eurostatu, na jednego mieszkańca Polski przypada jeden pokój. Tymczasem średni wynik dla krajów Unii Europejskiej to 1,5. Mieszkania o mniejszej powierzchni nie tracą w Polsce na popularności. Preferują je szczególnie inwestorzy zainteresowani nabyciem lokalu z myślą o jego późniejszym wynajmie. Jednak patrząc na średnie metraże lokali zakupionych na rynku wtórnym, w żadnym z obserwowanych miast, nie jest on mniejszy od 50 mkw.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dużym zainteresowaniem cieszą się nieruchomości dwupokojowe. Wśród przeprowadzonych transakcji aż 44% dotyczyło właśnie takich lokali. Co trzecie sprzedawane mieszkanie posiadało trzy pokoje, a jedynie 15% stanowiły mieszkania jednopokojowe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ceny w okresie ostatnich dwunastu miesięcy na rynku, można zauważyć, że nie doszło do poważnych zmian w tym zakresie. Na tym tle wyróżniają się Łódź oraz Gdańsk i Gdynia.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poprzednich raportach wskazywaliśmy na spadki cen łódzkich nieruchomości, jednak obecnie średni koszt mkw. przekroczył 3 500 zł i powrócił do wcześniej notowanych stawek. Póki co jednak trudno ocenić, czy to długotrwały trend, ponieważ istotny udział w ostatnich transakcjach miały mieszkania z nowszego segmentu, co przełożyło się także na średnie ceny mkw.</w:t>
      </w:r>
      <w:r>
        <w:rPr>
          <w:rFonts w:ascii="calibri" w:hAnsi="calibri" w:eastAsia="calibri" w:cs="calibri"/>
          <w:sz w:val="24"/>
          <w:szCs w:val="24"/>
        </w:rPr>
        <w:t xml:space="preserve"> – wyjaśnia Marcin Jańczuk.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Trójmiasta, ponownie obserwujemy zrównanie się cen nieruchomości w Gdańsku i Gdyni. Różnica kosztów, jakie należało ponieść, jest niewielka i wynosi kilkadziesiąt złotych. Osoby zainteresowane zakupem lokalu w Gdańsku musiały się liczyć z wydatkiem rzędu 5 415 zł za mkw., zaś w Gdyni 5 343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hipotecznych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średnia marża kredytu hipotecznego z wysokim (25%) wkładem własnym wzrosła z 2,06% do 2,16%. Główna przyczyna jest jednak dość nietypowa. – Od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BPH zaprzestał udzielania kredytów hipotecznych. Ponieważ dotychczas proponował klientom bardzo niską marżę to brak tej oferty znacząco wpłynął na wzrost średniej 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Kolejną przyczyną są zmiany w mBanku, który od września udziela tego typu kredytów tylko za pośrednictwem mBanku Hipotecznego. Przy okazji została wprowadzona niewielka podwyżka marż, która również wpłynęła na średnią.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pojawiła się również bardzo dobra informacja dla osób planujących budowę domu na działce rolnej. Banki ponowie zaczęły finansować takie budowy. Weszła bowiem w życie nowelizacja ustawy, która wywołała problem. Jednak należy pamiętać, że nadal istnieją pewne trudności w tym obszarze.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Wciąż trudno jest uzyskać finansowanie, jeśli powierzchnia działki rolnej jest większa niż 3 000 mkw. Przyczyną niechęci banków są ograniczania w sprzedaży takich gruntów, co wprowadziła wspomniana już ustawa. Tego nowelizacja bowiem nie zmieniła</w:t>
      </w:r>
      <w:r>
        <w:rPr>
          <w:rFonts w:ascii="calibri" w:hAnsi="calibri" w:eastAsia="calibri" w:cs="calibri"/>
          <w:sz w:val="24"/>
          <w:szCs w:val="24"/>
        </w:rPr>
        <w:t xml:space="preserve"> – dodaje Jarosław Sadowski.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możesz publikujemy w załącznikach.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2025-11-04T11:45:29+01:00</dcterms:created>
  <dcterms:modified xsi:type="dcterms:W3CDTF">2025-11-04T11:45:29+01:00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