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Raport Metrohouse i Expandera Wrzesień 2016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wynika z najnowszego raportu Metrohouse i Expandera, znacząco wzrosła średnia marża kredytów hipotecznych z wysokim (25%) wkładem własnym. Główną przyczyną nie są jednak podwyżki w bankach, lecz wycofanie bardzo atrakcyjnej oferty Banku BPH, który od września zaprzestał udzielania tego rodzaju kredytów. Dobrą wiadomością było przywrócenie możliwości finansowania budowy domu na działce rolnej. Z kolei średnie ceny w transakcjach na wtórnym rynku nieruchomości ukształtowały się na poziomie podobnym do ostatnich miesięcy. Różnice cenowe dotyczą jedynie mieszkań w Łodzi i Trójmieście.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Największe zmiany na Pomorzu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ostatnich statystyk Eurostatu, na jednego mieszkańca Polski przypada jeden pokój. Tymczasem średni wynik dla krajów Unii Europejskiej to 1,5. Mieszkania o mniejszej powierzchni nie tracą w Polsce na popularności. Preferują je szczególnie inwestorzy zainteresowani nabyciem lokalu z myślą o jego późniejszym wynajmie. Jednak patrząc na średnie metraże lokali zakupionych na rynku wtórnym, w żadnym z obserwowanych miast, nie jest on mniejszy od 50 mkw.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rynku dużym zainteresowaniem cieszą się nieruchomości dwupokojowe. Wśród przeprowadzonych transakcji aż 44% dotyczyło właśnie takich lokali. Co trzecie sprzedawane mieszkanie posiadało trzy pokoje, a jedynie 15% stanowiły mieszkania jednopokojowe </w:t>
      </w:r>
      <w:r>
        <w:rPr>
          <w:rFonts w:ascii="calibri" w:hAnsi="calibri" w:eastAsia="calibri" w:cs="calibri"/>
          <w:sz w:val="24"/>
          <w:szCs w:val="24"/>
        </w:rPr>
        <w:t xml:space="preserve">– mówi Marcin Jańczuk, ekspert Metrohouse.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Obserwując ceny w okresie ostatnich dwunastu miesięcy na rynku, można zauważyć, że nie doszło do poważnych zmian w tym zakresie. Na tym tle wyróżniają się Łódź oraz Gdańsk i Gdynia. </w:t>
      </w:r>
    </w:p>
    <w:p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poprzednich raportach wskazywaliśmy na spadki cen łódzkich nieruchomości, jednak obecnie średni koszt mkw. przekroczył 3 500 zł i powrócił do wcześniej notowanych stawek. Póki co jednak trudno ocenić, czy to długotrwały trend, ponieważ istotny udział w ostatnich transakcjach miały mieszkania z nowszego segmentu, co przełożyło się także na średnie ceny mkw.</w:t>
      </w:r>
      <w:r>
        <w:rPr>
          <w:rFonts w:ascii="calibri" w:hAnsi="calibri" w:eastAsia="calibri" w:cs="calibri"/>
          <w:sz w:val="24"/>
          <w:szCs w:val="24"/>
        </w:rPr>
        <w:t xml:space="preserve"> – wyjaśnia Marcin Jańczuk.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przypadku Trójmiasta, ponownie obserwujemy zrównanie się cen nieruchomości w Gdańsku i Gdyni. Różnica kosztów, jakie należało ponieść, jest niewielka i wynosi kilkadziesiąt złotych. Osoby zainteresowane zakupem lokalu w Gdańsku musiały się liczyć z wydatkiem rzędu 5 415 zł za mkw., zaś w Gdyni 5 343 zł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Marże kredytów hipotecznych w górę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minionym miesiącu średnia marża kredytu hipotecznego z wysokim (25%) wkładem własnym wzrosła z 2,06% do 2,16%. Główna przyczyna jest jednak dość nietypowa. – Od września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Bank BPH zaprzestał udzielania kredytów hipotecznych. Ponieważ dotychczas proponował klientom bardzo niską marżę to brak tej oferty znacząco wpłynął na wzrost średniej – </w:t>
      </w:r>
      <w:r>
        <w:rPr>
          <w:rFonts w:ascii="calibri" w:hAnsi="calibri" w:eastAsia="calibri" w:cs="calibri"/>
          <w:sz w:val="24"/>
          <w:szCs w:val="24"/>
        </w:rPr>
        <w:t xml:space="preserve">mówi Jarosław Sadowski, ekspert Expandera.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Kolejną przyczyną są zmiany w mBanku, który od września udziela tego typu kredytów tylko za pośrednictwem mBanku Hipotecznego. Przy okazji została wprowadzona niewielka podwyżka marż, która również wpłynęła na średnią.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 czasie pojawiła się również bardzo dobra informacja dla osób planujących budowę domu na działce rolnej. Banki ponowie zaczęły finansować takie budowy. Weszła bowiem w życie nowelizacja ustawy, która wywołała problem. Jednak należy pamiętać, że nadal istnieją pewne trudności w tym obszarze.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Wciąż trudno jest uzyskać finansowanie, jeśli powierzchnia działki rolnej jest większa niż 3 000 mkw. Przyczyną niechęci banków są ograniczania w sprzedaży takich gruntów, co wprowadziła wspomniana już ustawa. Tego nowelizacja bowiem nie zmieniła</w:t>
      </w:r>
      <w:r>
        <w:rPr>
          <w:rFonts w:ascii="calibri" w:hAnsi="calibri" w:eastAsia="calibri" w:cs="calibri"/>
          <w:sz w:val="24"/>
          <w:szCs w:val="24"/>
        </w:rPr>
        <w:t xml:space="preserve"> – dodaje Jarosław Sadowski.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Cały raport możesz publikujemy w załącznikach.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2025-04-07T18:35:40+02:00</dcterms:created>
  <dcterms:modified xsi:type="dcterms:W3CDTF">2025-04-07T18:35:40+02:00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