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stabilizacja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 Będą temu sprzyjały nowe regulacje w programie MdM. Na rynku kredytów hipotecznych widoczny jest wzrost średniej wartości marż. Dla wielu kredytobiorców najważniejszą kwestią jest podpisanie przez prezydenta i Senat ustawy dotyczącej preferencyjnego przewalutowania kredytów walutowych.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 sezon na rynku nieruchomości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charakteryzuje się sezonowością. Zwykle w miesiącach wakacyjnych panuje zastój. Średnie ceny mieszkań nieznacznie spadły. Różnica ta nie jest jednak duża. Odnotowujemy obniżkę stawek zaledwie o 0,1% w stosunku do ubiegłego miesiąca. Jedyne w 6 na 15 analizowanych miast nie doszło do redukcji cen. Są to Wrocław, Sopot, Katowice, Szczecin, Olsztyn i Łódź. Natomiast największy spadek cen nieruchomości miał miejsce w Krakowie – wyniósł 0,8%.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z analogicznym okresem ubiegłego roku stawki ofertowe są niższe o 1,6%</w:t>
      </w:r>
      <w:r>
        <w:rPr>
          <w:rFonts w:ascii="calibri" w:hAnsi="calibri" w:eastAsia="calibri" w:cs="calibri"/>
          <w:sz w:val="24"/>
          <w:szCs w:val="24"/>
        </w:rPr>
        <w:t xml:space="preserve"> – zauważa Marta Kosińska, ekspert Szybko.pl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ciagu ostatnich 12 miesięcu na wartości straciły mieszkania w kilku miastach. Zaliczają się do nich Olsztyn (5,6%), Poznań (4,8%), Toruń (4,6%). Natomiast w Łodzi, we Wrocławiu, Sopocie i Lublinie osoby zainteresowane nabyciem lokalu będą musiały zapłacić więcej niż w roku ubiegłym – dodaje ekspert. </w:t>
      </w:r>
      <w:r>
        <w:rPr>
          <w:rFonts w:ascii="calibri" w:hAnsi="calibri" w:eastAsia="calibri" w:cs="calibri"/>
          <w:sz w:val="24"/>
          <w:szCs w:val="24"/>
        </w:rPr>
        <w:t xml:space="preserve">W nadchodzących miesiącach można się spodziewać znacznego ożywienia na rynku nieruchomości. Będzie to wynik zmian wprowadzonych w programie Mieszkanie dla Młodych. Dzięki dopłatom zwiększy się liczba transakcji kupna sprzedaży w miastach, w których dostępność nieruchomości mogących zostać objętymi programem jest duża.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MdM szansą dla poszukujących lokali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w ustawie o MdM umożliwiają dofinansowanie kupna nieruchomości z rynku wtórnego. Niestety zmiana ta, mimo że pozytywna, nie wpłynie szczególnie na sytuację w większych miastach. Z analiz ekspertów wynika, że spośród największych miast jedynie w Łodzi kupujący nie będą mieli trudności ze znalezieniem lokalu, który spełniałby limity cenowe programu.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wprowadzonych zmianach w rządowym programie najbardziej skorzystają osoby planujące zakup mieszkania w mniejszych miastach, ponieważ na tamtejszych rynkach transakcje dotyczą głównie lokali z drugiej ręki</w:t>
      </w:r>
      <w:r>
        <w:rPr>
          <w:rFonts w:ascii="calibri" w:hAnsi="calibri" w:eastAsia="calibri" w:cs="calibri"/>
          <w:sz w:val="24"/>
          <w:szCs w:val="24"/>
        </w:rPr>
        <w:t xml:space="preserve"> 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szanse na znalezienie mieszkania z dopłatą będą mieć poszukujący mieszkań m.in. w Gorzowie Wielkopolskim, Olsztynie, Łodzi czy w Zielonej Górze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ceny ofertowe nie uległy znacznym zmianom. W Łodzi i Gdyni kupowano tańsze nieruchomości niż przed miesiącem. Klienci wybierali lokale w średniej cenie 3 482 zł za mkw. Natomiast na zakup mieszkania przeznaczano średnio 165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Marże kredytów wzrastają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wiele banków podjęło decyzje dotyczącą zmiany obowiązującej marży dla kredytów z niskim (10%) wkładem własnym. W większości przypadków były to podwyżki, przez co średnia tego parametru wynosi obecnie 1,99%.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Ogólny obraz rynku kredytów hipotecznych nie zmienił się jednak w ostatnim czasie. Nadal oprocentowanie jest bardzo niskie, co pozytywnie przekłada się na wysokość rat. Przykładowa rata wynosi 1 500 zł podczas gdy 3 lata temu było to 2 050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osób już spłacających kredyty hipoteczne w walutach obcych najważniejszym wydarzeniem jest to, że Sejm przegłosował bardzo korzystną wersję ustawy pozwalającej na preferencyjne przewalutowanie takich kredytów. Aż 90% kosztów związanych z taką operacją mają pokryć banki. Pojawiają się jednak sygnały mówiące o tym, że senatorzy przywrócą ustawie pierwotny kształt, w którym opłaty te są dzielone równo pomiędzy instytucję a kredytobiorców. Pozostaje też pytanie, czy ustawa jest zgodna z konstytucją oraz czy podpisze ją prezydent Duda.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2026-06-27T14:48:41+02:00</dcterms:created>
  <dcterms:modified xsi:type="dcterms:W3CDTF">2026-06-27T14:48:41+02:00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