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Metrohouse i Expandera październik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wrześniu mieliśmy do czynienia ze znaczącym wzrostem liczby transakcji na rynku wtórnym. Dużą siłę napędową stanowili inwestorzy poszukujący małych lokali z przeznaczeniem na wynajem. Choć w sektorze kredytów hipotecznych nie pojawiło się wiele zmian, już wkrótce może się to jednak zmienić. KNF chce bowiem, aby banki udzielały znacznie więcej kredytów ze stałym oprocentowaniem.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Mieszkanie plus uderzy w kupujących?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wrześniu, w każdym analizowanym mieście (Wrocław, Kraków, Warszawa, Poznań, Gdańsk, Gdynia i Łódź) nastąpił wzrost średniej ceny metra kwadratowego mieszkania nabywanego na rynku wtórnym.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Najmniejsze różnice cenowe odnotowaliśmy w Gdyni, gdzie nieruchomości były droższe o niecały procent w porównaniu do poprzedniego notowania. Natomiast największy wzrost nastąpił w Poznaniu i wyniósł on ponad 5% – </w:t>
      </w:r>
      <w:r>
        <w:rPr>
          <w:rFonts w:ascii="calibri" w:hAnsi="calibri" w:eastAsia="calibri" w:cs="calibri"/>
          <w:sz w:val="24"/>
          <w:szCs w:val="24"/>
        </w:rPr>
        <w:t xml:space="preserve">mówi Marcin Jańczuk, ekspert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Pewne ziarno niepokoju w środowisku inwestorów mogły zasiać rządowe plany związane z intensyfikacją działań związanych z programem Mieszkanie Plus. Projekt zakłada wybudowanie tanich mieszkań na wynajem z możliwością dojścia do własności. Teoretycznie mogłoby to pokrzyżować plany nabywcom, upatrującym w nieruchomościach pewnej lokaty kapitału. Wydaje się jednak, że grupa docelowa, do której adresowany jest program nie pokrywa się w dużej części z osobami, które obecnie stanowią większość wynajmujących lokale.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Kredyt ze stałym oprocentowaniem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miesiącu nie mieliśmy do czynienia z wieloma zmianami w ofertach kredytowych.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Średnia marża dla kredytów z najniższym wkładem (10%) wzrosła z 2,32% do 2,35% w wyniku wprowadzenia takiej oferty w Raiffeisen Polbank. To spowodowało, że już osiem banków udziela finansowania na 90% wartości nieruchomości. Poza tym ING Bank Śląski obniżył z 2,1% do 1,9% marżę dla zobowiązań z wysokim (25%) wkładem własnym. W rezultacie średnia marża kredytów z LTV 75% spadła do poziomu 2,11% (z 2,13% we wrześniu) </w:t>
      </w:r>
      <w:r>
        <w:rPr>
          <w:rFonts w:ascii="calibri" w:hAnsi="calibri" w:eastAsia="calibri" w:cs="calibri"/>
          <w:sz w:val="24"/>
          <w:szCs w:val="24"/>
        </w:rPr>
        <w:t xml:space="preserve">– mówi Jarosław Sadowski, ekspert Expandera.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Ciekawostką jest natomiast to, że Komisja Nadzoru Finansowego planuje wprowadzić rekomendację nakłaniającą banki do udzielania kredytów hipotecznych ze stałym oprocentowaniem. Obecnie takich ofert jest tylko pięć i niestety nie cieszą się dużym zainteresowaniem wśród klientów.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Działania KNF wydają się słuszne biorąc pod uwagę, że obecnie mamy najniższe stopy procentowe w historii. Prawdopodobnie w 2018 r. zaczną jednak rosnąć. Gdyby WIBOR wrócił do poziomu 5% (tyle wynosił jeszcze w 2012 r.) to rata kredytu na kwotę 300 000 zł na 25 lat wzrosłaby aż o 586 z (z 1 556 zł obecnie do 2 142 zł)</w:t>
      </w:r>
      <w:r>
        <w:rPr>
          <w:rFonts w:ascii="calibri" w:hAnsi="calibri" w:eastAsia="calibri" w:cs="calibri"/>
          <w:sz w:val="24"/>
          <w:szCs w:val="24"/>
        </w:rPr>
        <w:t xml:space="preserve"> – dodaje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Bitwa o dopłaty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III kwartale 2016 r., polski rynek pierwotny musiał poradzić sobie bez wsparcia programu „Mieszkanie dla Młodych”.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IV kw. 2016 r., firmy deweloperskie mogą natomiast spodziewać się, że mieszkania z ceną odpowiadającą limitom programu MdM, będą miały mniejszy udział w sprzedaży. Wiele osób zainteresowanych takimi lokalami, czeka bowiem na przyszłoroczne odblokowanie puli dopłat (373 mln zł zarezerwowanych na 2017 r.). Od samego początku przyszłego roku, możemy być świadkami prawdziwej bitwy o dopłaty</w:t>
      </w:r>
      <w:r>
        <w:rPr>
          <w:rFonts w:ascii="calibri" w:hAnsi="calibri" w:eastAsia="calibri" w:cs="calibri"/>
          <w:sz w:val="24"/>
          <w:szCs w:val="24"/>
        </w:rPr>
        <w:t xml:space="preserve"> – mówi Andrzej Prajsnar, ekspert RynekPierwotny.pl.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sześciu analizowanych miast ceny ofertowe nowych lokali zmieniły się nieznacznie.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Nadal widoczne było jednak duże zróżnicowanie. Od lipca do września br. średnia cena ofertowa za mkw. nowego mieszkania w wiodących metropoliach wynosiła odpowiednio: w Warszawie – 7 582 zł, Krakowie – 6 592 zł, Łodzi – 5 076 zł, Wrocławiu – 6 137 zł, Poznaniu – 6 321 zł oraz w Gdańsku – 6 100 zł – </w:t>
      </w:r>
      <w:r>
        <w:rPr>
          <w:rFonts w:ascii="calibri" w:hAnsi="calibri" w:eastAsia="calibri" w:cs="calibri"/>
          <w:sz w:val="24"/>
          <w:szCs w:val="24"/>
        </w:rPr>
        <w:t xml:space="preserve">dodaje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Cały raport w załączniku.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2025-12-08T15:21:07+01:00</dcterms:created>
  <dcterms:modified xsi:type="dcterms:W3CDTF">2025-12-08T15:21:07+01:00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