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Metrohouse i Expandera październik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mieliśmy do czynienia ze znaczącym wzrostem liczby transakcji na rynku wtórnym. Dużą siłę napędową stanowili inwestorzy poszukujący małych lokali z przeznaczeniem na wynajem. Choć w sektorze kredytów hipotecznych nie pojawiło się wiele zmian, już wkrótce może się to jednak zmienić. KNF chce bowiem, aby banki udzielały znacznie więcej kredytów ze stałym oprocentowaniem.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Mieszkanie plus uderzy w kupujących?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wrześniu, w każdym analizowanym mieście (Wrocław, Kraków, Warszawa, Poznań, Gdańsk, Gdynia i Łódź) nastąpił wzrost średniej ceny metra kwadratowego mieszkania nabywanego na rynku wtórnym.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Najmniejsze różnice cenowe odnotowaliśmy w Gdyni, gdzie nieruchomości były droższe o niecały procent w porównaniu do poprzedniego notowania. Natomiast największy wzrost nastąpił w Poznaniu i wyniósł on ponad 5% – </w:t>
      </w:r>
      <w:r>
        <w:rPr>
          <w:rFonts w:ascii="calibri" w:hAnsi="calibri" w:eastAsia="calibri" w:cs="calibri"/>
          <w:sz w:val="24"/>
          <w:szCs w:val="24"/>
        </w:rPr>
        <w:t xml:space="preserve">mówi Marcin Jańczuk, ekspert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Pewne ziarno niepokoju w środowisku inwestorów mogły zasiać rządowe plany związane z intensyfikacją działań związanych z programem Mieszkanie Plus. Projekt zakłada wybudowanie tanich mieszkań na wynajem z możliwością dojścia do własności. Teoretycznie mogłoby to pokrzyżować plany nabywcom, upatrującym w nieruchomościach pewnej lokaty kapitału. Wydaje się jednak, że grupa docelowa, do której adresowany jest program nie pokrywa się w dużej części z osobami, które obecnie stanowią większość wynajmujących lokale.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Kredyt ze stałym oprocentowaniem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miesiącu nie mieliśmy do czynienia z wieloma zmianami w ofertach kredytowych.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Średnia marża dla kredytów z najniższym wkładem (10%) wzrosła z 2,32% do 2,35% w wyniku wprowadzenia takiej oferty w Raiffeisen Polbank. To spowodowało, że już osiem banków udziela finansowania na 90% wartości nieruchomości. Poza tym ING Bank Śląski obniżył z 2,1% do 1,9% marżę dla zobowiązań z wysokim (25%) wkładem własnym. W rezultacie średnia marża kredytów z LTV 75% spadła do poziomu 2,11% (z 2,13% we wrześniu) </w:t>
      </w:r>
      <w:r>
        <w:rPr>
          <w:rFonts w:ascii="calibri" w:hAnsi="calibri" w:eastAsia="calibri" w:cs="calibri"/>
          <w:sz w:val="24"/>
          <w:szCs w:val="24"/>
        </w:rPr>
        <w:t xml:space="preserve">– mówi Jarosław Sadowski, ekspert Expandera.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Ciekawostką jest natomiast to, że Komisja Nadzoru Finansowego planuje wprowadzić rekomendację nakłaniającą banki do udzielania kredytów hipotecznych ze stałym oprocentowaniem. Obecnie takich ofert jest tylko pięć i niestety nie cieszą się dużym zainteresowaniem wśród klientów.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Działania KNF wydają się słuszne biorąc pod uwagę, że obecnie mamy najniższe stopy procentowe w historii. Prawdopodobnie w 2018 r. zaczną jednak rosnąć. Gdyby WIBOR wrócił do poziomu 5% (tyle wynosił jeszcze w 2012 r.) to rata kredytu na kwotę 300 000 zł na 25 lat wzrosłaby aż o 586 z (z 1 556 zł obecnie do 2 142 zł)</w:t>
      </w:r>
      <w:r>
        <w:rPr>
          <w:rFonts w:ascii="calibri" w:hAnsi="calibri" w:eastAsia="calibri" w:cs="calibri"/>
          <w:sz w:val="24"/>
          <w:szCs w:val="24"/>
        </w:rPr>
        <w:t xml:space="preserve"> – dodaje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Bitwa o dopłaty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III kwartale 2016 r., polski rynek pierwotny musiał poradzić sobie bez wsparcia programu „Mieszkanie dla Młodych”.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IV kw. 2016 r., firmy deweloperskie mogą natomiast spodziewać się, że mieszkania z ceną odpowiadającą limitom programu MdM, będą miały mniejszy udział w sprzedaży. Wiele osób zainteresowanych takimi lokalami, czeka bowiem na przyszłoroczne odblokowanie puli dopłat (373 mln zł zarezerwowanych na 2017 r.). Od samego początku przyszłego roku, możemy być świadkami prawdziwej bitwy o dopłaty</w:t>
      </w:r>
      <w:r>
        <w:rPr>
          <w:rFonts w:ascii="calibri" w:hAnsi="calibri" w:eastAsia="calibri" w:cs="calibri"/>
          <w:sz w:val="24"/>
          <w:szCs w:val="24"/>
        </w:rPr>
        <w:t xml:space="preserve"> – mówi Andrzej Prajsnar, ekspert RynekPierwotny.pl.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sześciu analizowanych miast ceny ofertowe nowych lokali zmieniły się nieznacznie.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Nadal widoczne było jednak duże zróżnicowanie. Od lipca do września br. średnia cena ofertowa za mkw. nowego mieszkania w wiodących metropoliach wynosiła odpowiednio: w Warszawie – 7 582 zł, Krakowie – 6 592 zł, Łodzi – 5 076 zł, Wrocławiu – 6 137 zł, Poznaniu – 6 321 zł oraz w Gdańsku – 6 100 zł – </w:t>
      </w:r>
      <w:r>
        <w:rPr>
          <w:rFonts w:ascii="calibri" w:hAnsi="calibri" w:eastAsia="calibri" w:cs="calibri"/>
          <w:sz w:val="24"/>
          <w:szCs w:val="24"/>
        </w:rPr>
        <w:t xml:space="preserve">dodaje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Cały raport w załączniku.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2026-10-24T13:07:15+02:00</dcterms:created>
  <dcterms:modified xsi:type="dcterms:W3CDTF">2026-10-24T13:07:15+02:00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